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August 2026 -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8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15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22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29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August 2026 calendar</dc:title>
  <dc:description>Download more at © Whenisholidays.net</dc:description>
  <dc:subject/>
  <cp:keywords>August 2026 calendar</cp:keywords>
  <cp:category/>
  <cp:lastModifiedBy>Whenisholidays.net</cp:lastModifiedBy>
  <dcterms:created xsi:type="dcterms:W3CDTF">2026-06-16T15:48:54-07:00</dcterms:created>
  <dcterms:modified xsi:type="dcterms:W3CDTF">2026-06-16T15:48:54-07:00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